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4B32" w:rsidRPr="008517B5" w14:paraId="15B7E33E" w14:textId="77777777" w:rsidTr="00E30BF3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5E484625" w14:textId="77777777" w:rsidR="00E04B32" w:rsidRPr="008517B5" w:rsidRDefault="00E04B32" w:rsidP="00E30BF3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E04B32" w14:paraId="6573B31D" w14:textId="77777777" w:rsidTr="00E30BF3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4A958748" w14:textId="77777777" w:rsidR="00E04B32" w:rsidRDefault="00E04B32" w:rsidP="00E30BF3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1CEFAB3" w14:textId="28908639" w:rsidR="00E04B32" w:rsidRDefault="00E04B32" w:rsidP="00E04B3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04B32">
        <w:rPr>
          <w:rFonts w:ascii="Arial" w:hAnsi="Arial" w:cs="Arial"/>
          <w:b/>
          <w:color w:val="0070C0"/>
          <w:sz w:val="28"/>
          <w:szCs w:val="28"/>
        </w:rPr>
        <w:t>Hodnocení 202</w:t>
      </w:r>
      <w:r>
        <w:rPr>
          <w:rFonts w:ascii="Arial" w:hAnsi="Arial" w:cs="Arial"/>
          <w:b/>
          <w:color w:val="0070C0"/>
          <w:sz w:val="28"/>
          <w:szCs w:val="28"/>
        </w:rPr>
        <w:t>4</w:t>
      </w:r>
      <w:r w:rsidRPr="00E04B32">
        <w:rPr>
          <w:rFonts w:ascii="Arial" w:hAnsi="Arial" w:cs="Arial"/>
          <w:b/>
          <w:color w:val="0070C0"/>
          <w:sz w:val="28"/>
          <w:szCs w:val="28"/>
        </w:rPr>
        <w:t xml:space="preserve"> - Informace o námitkách k hodnocení </w:t>
      </w:r>
    </w:p>
    <w:p w14:paraId="587D5883" w14:textId="38835388" w:rsidR="00CB5B45" w:rsidRPr="00CB5B45" w:rsidRDefault="00CB5B45" w:rsidP="00CB5B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B5B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 pro výzkum vývoj a inovace (dále jen „Rada“) na svém 414. zasedání dne 19.  září 2025 schválila zveřejnění výstupů z Modulu 1 a Modulu 2 a požádala výzkumné organizace v</w:t>
      </w:r>
      <w:r w:rsidR="0037599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CB5B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případě potřeby o zpětnou vazbu ke zveřejněným výstupům z hodnocení, a to do 30 dnů od</w:t>
      </w:r>
      <w:r w:rsidR="0037599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CB5B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data jejich zpřístupnění. Lhůta pro zasílání podnětů uplynula dne 24. října 2025. </w:t>
      </w:r>
    </w:p>
    <w:p w14:paraId="71C25035" w14:textId="5BB98483" w:rsidR="00F043A6" w:rsidRDefault="00CB5B45" w:rsidP="006362A4">
      <w:pPr>
        <w:autoSpaceDE w:val="0"/>
        <w:autoSpaceDN w:val="0"/>
        <w:adjustRightInd w:val="0"/>
        <w:spacing w:before="120" w:after="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B5B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Podněty zaslané výzkumnými organizacemi k hodnocení vybraných výsledků byly evidovány Odborem podpory Rady pro výzkum, vývoj a inovace a jsou postoupeny příslušným předsedům Odborných panelů, kteří ve spolupráci s garanty hodnocení vybraných výsledků příslušných oborů zpracují k jednotlivým námitkám vyjádření Odborného panelu. Tato vyjádření budou spolu s vyjádřením Odboru podpory Rady k procesním otázkám projednána KHV a následně předložena ke schválení Radě.</w:t>
      </w:r>
    </w:p>
    <w:p w14:paraId="74DC3EF6" w14:textId="75921771" w:rsidR="00E04B32" w:rsidRPr="00A31DE4" w:rsidRDefault="00A31DE4" w:rsidP="006362A4">
      <w:pPr>
        <w:autoSpaceDE w:val="0"/>
        <w:autoSpaceDN w:val="0"/>
        <w:adjustRightInd w:val="0"/>
        <w:spacing w:after="6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A31DE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Přehled námitek </w:t>
      </w:r>
      <w:r w:rsidR="00C329B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Modul 1:</w:t>
      </w:r>
    </w:p>
    <w:tbl>
      <w:tblPr>
        <w:tblW w:w="8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8"/>
        <w:gridCol w:w="3640"/>
        <w:gridCol w:w="1600"/>
        <w:gridCol w:w="2000"/>
      </w:tblGrid>
      <w:tr w:rsidR="007063FD" w14:paraId="447EEF8D" w14:textId="77777777" w:rsidTr="007063FD">
        <w:trPr>
          <w:trHeight w:val="58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143FE4CE" w14:textId="77777777" w:rsidR="007063FD" w:rsidRDefault="007063F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Poskytovatel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239621D" w14:textId="77777777" w:rsidR="007063FD" w:rsidRDefault="007063F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Výzkumná organizace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1E75E3FB" w14:textId="77777777" w:rsidR="007063FD" w:rsidRDefault="007063F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námitek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BB7C7F6" w14:textId="77777777" w:rsidR="007063FD" w:rsidRDefault="007063F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</w:t>
            </w:r>
          </w:p>
        </w:tc>
      </w:tr>
      <w:tr w:rsidR="007063FD" w14:paraId="161ED885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54B8BD20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E3C6AB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Astronomický ústav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6AC25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6F41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262674DC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86528B4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BD758AF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Biologické centrum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1FC81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0ACEA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45A1678E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C5DEC52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A3FDBCF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Botanický ústav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5BC1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CE6DD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5929FECD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5C0E800F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353B89C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Centrum výzkumu Řež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E077F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2704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2</w:t>
            </w:r>
          </w:p>
        </w:tc>
      </w:tr>
      <w:tr w:rsidR="007063FD" w14:paraId="4760B354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B20E25A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798756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Česká zemědělská univerzita v Praze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CE109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F06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2; OP 4</w:t>
            </w:r>
          </w:p>
        </w:tc>
      </w:tr>
      <w:tr w:rsidR="007063FD" w14:paraId="25293B9A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63CC666B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3820CF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České vysoké učení technické v Praze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7F709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CDA8D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0FF120AB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9E03765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B9FD39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Český metrologický institut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46440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6BE59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2</w:t>
            </w:r>
          </w:p>
        </w:tc>
      </w:tr>
      <w:tr w:rsidR="007063FD" w14:paraId="16B66998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07F0CC6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MZd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519DACE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Fakultní nemocnice u sv. Anny v Brně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BC045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BC9B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76D3E802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6EFDA636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3DE561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Fyziologický ústav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95632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C8B9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3C47C948" w14:textId="77777777" w:rsidTr="007063FD">
        <w:trPr>
          <w:trHeight w:val="5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A7891DC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E80659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Historický ústav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5FBF7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00FB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6</w:t>
            </w:r>
          </w:p>
        </w:tc>
      </w:tr>
      <w:tr w:rsidR="007063FD" w14:paraId="5CAC68FD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90194EB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CBAB2F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0A564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5CA3D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5; OP 6</w:t>
            </w:r>
          </w:p>
        </w:tc>
      </w:tr>
      <w:tr w:rsidR="007063FD" w14:paraId="6F6031DA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5D44A227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D0D8FC1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MATERIÁLOVÝ A METALURGICKÝ VÝZKUM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0B3EE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3A2FA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2</w:t>
            </w:r>
          </w:p>
        </w:tc>
      </w:tr>
      <w:tr w:rsidR="007063FD" w14:paraId="2D8746F6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58655AA6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353863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Mendelova univerzita v Brně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0EC1B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EB8E1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4</w:t>
            </w:r>
          </w:p>
        </w:tc>
      </w:tr>
      <w:tr w:rsidR="007063FD" w14:paraId="234CA43F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9BA2030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MK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4719C9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Národní knihovna České republiky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12DD1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7600D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6</w:t>
            </w:r>
          </w:p>
        </w:tc>
      </w:tr>
      <w:tr w:rsidR="007063FD" w14:paraId="4F9A73B4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4E45D057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MZd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7567012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Nemocnice na Homolce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653E7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DBE4D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5</w:t>
            </w:r>
          </w:p>
        </w:tc>
      </w:tr>
      <w:tr w:rsidR="007063FD" w14:paraId="7365941B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73559129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MV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4AECAC1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Policejní akademie ČR v Praze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52781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94E1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5</w:t>
            </w:r>
          </w:p>
        </w:tc>
      </w:tr>
      <w:tr w:rsidR="007063FD" w14:paraId="21111308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1AEFC227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AF80CD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Technická univerzita v Liberci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15033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E8214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2; OP 5</w:t>
            </w:r>
          </w:p>
        </w:tc>
      </w:tr>
      <w:tr w:rsidR="007063FD" w14:paraId="13263619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713E49D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136122F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 v Praze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462ED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ED5F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5</w:t>
            </w:r>
          </w:p>
        </w:tc>
      </w:tr>
      <w:tr w:rsidR="007063FD" w14:paraId="263C4047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BF615CE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AAF4691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Pardubice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3147F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6349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6</w:t>
            </w:r>
          </w:p>
        </w:tc>
      </w:tr>
      <w:tr w:rsidR="007063FD" w14:paraId="5C391325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707A98EA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A4940E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Palackého v Olomouci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B5CA5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DFC6A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5; OP 6</w:t>
            </w:r>
          </w:p>
        </w:tc>
      </w:tr>
      <w:tr w:rsidR="007063FD" w14:paraId="4201AADA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14A06BD4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556CD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fotoniky a elektroniky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D8997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427A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2</w:t>
            </w:r>
          </w:p>
        </w:tc>
      </w:tr>
      <w:tr w:rsidR="007063FD" w14:paraId="7AC2EF0B" w14:textId="77777777" w:rsidTr="007063FD">
        <w:trPr>
          <w:trHeight w:val="5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550432BA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D1AF8FE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fyzikální chemie J. Heyrovského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EDF92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BFD3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1E243770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35980B1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BAADE5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fyziky plazmatu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099DB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B2FC3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2</w:t>
            </w:r>
          </w:p>
        </w:tc>
      </w:tr>
      <w:tr w:rsidR="007063FD" w14:paraId="7DFB63D8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6E6F973B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A09A094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geoniky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22834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D35F2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4298CFB9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0325AFE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6D99020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informatiky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AEAE6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25A24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54309ECB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7B65D255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C42F6D3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pro českou literaturu AV ČR, v. v. i.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3BE85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09AD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6</w:t>
            </w:r>
          </w:p>
        </w:tc>
      </w:tr>
      <w:tr w:rsidR="007063FD" w14:paraId="2B6AE008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6848A8FF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6883FAA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pro jazyk český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F2E5A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22B7B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6</w:t>
            </w:r>
          </w:p>
        </w:tc>
      </w:tr>
      <w:tr w:rsidR="007063FD" w14:paraId="2C7C916B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E215E49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12AE60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Termomechaniky AV ČR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71CF2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E1C32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2</w:t>
            </w:r>
          </w:p>
        </w:tc>
      </w:tr>
      <w:tr w:rsidR="007063FD" w14:paraId="16C1AE30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41E374E3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 ČR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E07F91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Ústav výzkumu globální změny AV ČR, v. v. i.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BABEB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1190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1, OP4</w:t>
            </w:r>
          </w:p>
        </w:tc>
      </w:tr>
      <w:tr w:rsidR="007063FD" w14:paraId="4D819E58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1F4417FE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25939BA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Vysoká škola Báňská v Ostravě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84EDE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65A43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1, OP 2</w:t>
            </w:r>
          </w:p>
        </w:tc>
      </w:tr>
      <w:tr w:rsidR="007063FD" w14:paraId="5F240EAE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00A4864A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2C08313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VÚTS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14099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82AF1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2</w:t>
            </w:r>
          </w:p>
        </w:tc>
      </w:tr>
      <w:tr w:rsidR="007063FD" w14:paraId="3E518DE9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05540CB8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478AAB7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Vysoká škola chemicko-technologická v Praze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9E6FA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EDD02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0C04935B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59BE0AF8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AB7B870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Vysoká škola finanční a správní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B938E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8738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5</w:t>
            </w:r>
          </w:p>
        </w:tc>
      </w:tr>
      <w:tr w:rsidR="007063FD" w14:paraId="22447FCC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695BBF6" w14:textId="54CB8E8F" w:rsidR="007063FD" w:rsidRDefault="0049512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958A528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Vysoké učení technické v Brně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4D2BD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56304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2; OP 6</w:t>
            </w:r>
          </w:p>
        </w:tc>
      </w:tr>
      <w:tr w:rsidR="007063FD" w14:paraId="56A22153" w14:textId="77777777" w:rsidTr="007063FD">
        <w:trPr>
          <w:trHeight w:val="51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38E78BF4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MŠMT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5F0D720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Západočeská univerzita v Plzni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9A50B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D563D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1; OP 2; OP 6</w:t>
            </w:r>
          </w:p>
        </w:tc>
      </w:tr>
      <w:tr w:rsidR="007063FD" w14:paraId="0B9667CD" w14:textId="77777777" w:rsidTr="006362A4">
        <w:trPr>
          <w:trHeight w:val="304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24E54BB7" w14:textId="5F9816E9" w:rsidR="007063FD" w:rsidRDefault="007063FD" w:rsidP="006362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 termínu</w:t>
            </w:r>
          </w:p>
        </w:tc>
      </w:tr>
      <w:tr w:rsidR="007063FD" w14:paraId="23F6A0C8" w14:textId="77777777" w:rsidTr="007063FD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2418DF6B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MPO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3FCB55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SVÚM, a.s.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87650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FAD42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2</w:t>
            </w:r>
          </w:p>
        </w:tc>
      </w:tr>
      <w:tr w:rsidR="007063FD" w14:paraId="6F95D30C" w14:textId="77777777" w:rsidTr="007063FD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4782F066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MŽP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54D476F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Česká geologická služba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A20A7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36A6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  <w:tr w:rsidR="007063FD" w14:paraId="05637DC7" w14:textId="77777777" w:rsidTr="007063FD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vAlign w:val="center"/>
            <w:hideMark/>
          </w:tcPr>
          <w:p w14:paraId="61CE72D0" w14:textId="77777777" w:rsidR="007063FD" w:rsidRDefault="007063F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MŽP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8176E5A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Výzkumný ústav vodohospodářský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155E6" w14:textId="77777777" w:rsidR="007063FD" w:rsidRDefault="007063F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94546" w14:textId="77777777" w:rsidR="007063FD" w:rsidRDefault="007063F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OP 1</w:t>
            </w:r>
          </w:p>
        </w:tc>
      </w:tr>
    </w:tbl>
    <w:p w14:paraId="5E62D8E8" w14:textId="2FDA6944" w:rsidR="00A31DE4" w:rsidRPr="00DD2176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Celkem </w:t>
      </w:r>
      <w:r w:rsidR="00DD2176"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  <w:r w:rsidR="00F0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8</w:t>
      </w:r>
      <w:r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výzkumných organizací zaslalo</w:t>
      </w:r>
      <w:r w:rsidR="00C0038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DD2176"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</w:t>
      </w:r>
      <w:r w:rsidR="00F0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25</w:t>
      </w:r>
      <w:r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námitek ke konkrétním výsledkům hodnocených v Modulu 1</w:t>
      </w:r>
      <w:r w:rsidR="00C1041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112826FB" w14:textId="4274E78C" w:rsidR="00A31DE4" w:rsidRPr="00A31DE4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Ke kritériu společenská relevance bylo vzneseno </w:t>
      </w:r>
      <w:r w:rsidR="00F0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51</w:t>
      </w:r>
      <w:r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připomínek a ke kritériu přínos k poznání </w:t>
      </w:r>
      <w:r w:rsidR="00DD2176"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7</w:t>
      </w:r>
      <w:r w:rsidR="00F043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</w:t>
      </w:r>
      <w:r w:rsidRPr="00DD217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připomínek.</w:t>
      </w: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26A9F259" w14:textId="4EBB25AF" w:rsidR="00F83616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Odborný panel 1. Natural Sciences: </w:t>
      </w:r>
      <w:r w:rsid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r w:rsidR="007063F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</w:t>
      </w:r>
      <w:r w:rsidRP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výzkumných organizací (</w:t>
      </w:r>
      <w:r w:rsidR="00F83616" w:rsidRP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Astronomický ústav AV ČR, Biologické centrum AV ČR, Botanický ústav AV ČR, </w:t>
      </w:r>
      <w:r w:rsidR="00462228">
        <w:rPr>
          <w:rFonts w:ascii="Arial" w:hAnsi="Arial" w:cs="Arial"/>
          <w:color w:val="000000"/>
          <w:sz w:val="22"/>
          <w:szCs w:val="22"/>
        </w:rPr>
        <w:t>Česká geologická služba</w:t>
      </w:r>
      <w:r w:rsidR="004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; </w:t>
      </w:r>
      <w:r w:rsidR="00F83616" w:rsidRP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Česká zemědělská univerzita v Praze, České vysoké učení technické v Praze, Český metrologický institut, Fakultní nemocnice u sv. Anny v Brně, Fyziologický ústav, Masarykova univerzita, Mendelova univerzita v Brně, Univerzita Karlova, </w:t>
      </w:r>
      <w:r w:rsid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</w:t>
      </w:r>
      <w:r w:rsidR="00F83616" w:rsidRP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niverzita Pardubice, Univerzita Palackého v Olomouci, Ústav fotoniky a elektroniky AV ČR, Ústav fyzikální chemie J. Heyrov</w:t>
      </w:r>
      <w:r w:rsidR="006362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</w:t>
      </w:r>
      <w:r w:rsidR="00F83616" w:rsidRP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kého AV ČR, Ústav geoniky AV ČR, Ústav informatiky AV ČR, Ústav termomechaniky AV ČR, Ústav výzkumu globální změny AV ČR, Vysoká škola báňská - Technická univerzita Ostrava, Vysoká škola chemicko-technologická v Praze, </w:t>
      </w:r>
      <w:r w:rsidR="007063F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Vysoké učení technické v Brně, Výzkumný ústav vodohospodářský, </w:t>
      </w:r>
      <w:r w:rsidR="00F83616" w:rsidRP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Západočeská univerzita v Plzni).</w:t>
      </w:r>
      <w:r w:rsidR="00F836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1CE1F6C3" w14:textId="6DF0ECD9" w:rsidR="00B57D56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highlight w:val="yellow"/>
          <w:lang w:eastAsia="en-US"/>
        </w:rPr>
      </w:pP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Odborný panel 2. Engineering and Technology: 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</w:t>
      </w:r>
      <w:r w:rsidR="00F24A9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výzkumných organiz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ací (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Centrum výzkumu Řež, Česká zemědělská univerzita v Praze, Český metrologický institut, Materiálový a</w:t>
      </w:r>
      <w:r w:rsidR="006B74E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metalurgický výzkum, </w:t>
      </w:r>
      <w:r w:rsidR="004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SVÚM, a.s., 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Technická univerzita v Liberci, Ústav fotoniky a</w:t>
      </w:r>
      <w:r w:rsidR="006362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elektroniky AV ČR, </w:t>
      </w:r>
      <w:r w:rsidR="004622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stav fyziky plazmatu AV ČR, Ústav termomechaniky AV ČR, Vysoká škola báňská - Technická univerzita Ostrava, VÚTS, </w:t>
      </w:r>
      <w:r w:rsidR="00F24A9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Vysoké učení technické v Brně, 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Západočeská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univerzita v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Plzni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="00B57D56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12DD5FD5" w14:textId="7ABE45C3" w:rsidR="00A31DE4" w:rsidRPr="00A31DE4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Odborný panel 3. Medical and Health Sciences:</w:t>
      </w:r>
      <w:r w:rsid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nebyly zaslány žádné námitky</w:t>
      </w:r>
    </w:p>
    <w:p w14:paraId="4AA82FD0" w14:textId="0F5A4290" w:rsidR="00983497" w:rsidRPr="00983497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Odborný panel 4. Agricultural and Veterinary 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Sciences: 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výzkumné organizace (</w:t>
      </w:r>
      <w:r w:rsidR="00334CFA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Mendelova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univerzita v Brně, 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Česká zemědělská univerzita, 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Ústav výzkumu globální změny AV ČR).</w:t>
      </w:r>
    </w:p>
    <w:p w14:paraId="2A3772EA" w14:textId="1A9BD631" w:rsidR="00983497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Odborný panel 5. Social Sciences: </w:t>
      </w:r>
      <w:r w:rsidR="00983497"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7</w:t>
      </w:r>
      <w:r w:rsidRP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výzkumných</w:t>
      </w: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organizací (</w:t>
      </w:r>
      <w:r w:rsidR="00334C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Masarykova</w:t>
      </w:r>
      <w:r w:rsid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univerzita v Brně, Nemocnice na Homolce, Policejní akademie ČR v Praze, Technická univerzita v Liberci, Univerzita Karlova v Praze, Univerzita Palackého v Olomouci, Vysoká škola finanční a</w:t>
      </w:r>
      <w:r w:rsidR="006B74E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9834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správní).</w:t>
      </w:r>
    </w:p>
    <w:p w14:paraId="53CFB069" w14:textId="422916F0" w:rsidR="00334CFA" w:rsidRPr="00334CFA" w:rsidRDefault="00A31DE4" w:rsidP="00A31DE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31DE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Odborný panel 6. Humanities and the Arts</w:t>
      </w:r>
      <w:r w:rsidRPr="00334C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  <w:r w:rsidR="006362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F24A9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9</w:t>
      </w:r>
      <w:r w:rsidRPr="00334C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výzkumných organizací (</w:t>
      </w:r>
      <w:r w:rsidR="00334CFA" w:rsidRPr="00334C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Masarykova univerzita v Brně, Univerzita Pardubice, Univerzita Palackého Olomouc, Ústav pro českou literaturu AV ČR, Národní knihovna ČR, Historický ústav AV ČR, Ústav pro jazyk český AV ČR; </w:t>
      </w:r>
      <w:r w:rsidR="00F24A9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Vysoké učení technické v Brně, </w:t>
      </w:r>
      <w:r w:rsidR="00334CFA" w:rsidRPr="00334CF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Západočeská univerzita v Plzni). </w:t>
      </w:r>
    </w:p>
    <w:p w14:paraId="001AD046" w14:textId="5E38EC9D" w:rsidR="00F30E2B" w:rsidRPr="00D977D0" w:rsidRDefault="006C5556" w:rsidP="00C329B6">
      <w:pPr>
        <w:spacing w:before="100" w:beforeAutospacing="1" w:after="100" w:afterAutospacing="1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 Modulu 2 zaslala své připomínky pouze Vysoká škola ekonomická</w:t>
      </w:r>
      <w:r w:rsidR="00C329B6"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 w:rsidR="00C329B6"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Praze.</w:t>
      </w:r>
      <w:r w:rsidR="00C329B6"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D977D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4529E8DE" w14:textId="77777777" w:rsidR="00D9641A" w:rsidRDefault="00D9641A"/>
    <w:p w14:paraId="26F71871" w14:textId="77777777" w:rsidR="00D9641A" w:rsidRDefault="00D9641A"/>
    <w:p w14:paraId="57C677F3" w14:textId="77777777" w:rsidR="00462228" w:rsidRDefault="00462228"/>
    <w:sectPr w:rsidR="00462228" w:rsidSect="00DD2176">
      <w:headerReference w:type="default" r:id="rId6"/>
      <w:pgSz w:w="11906" w:h="16838"/>
      <w:pgMar w:top="19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6FF4C" w14:textId="77777777" w:rsidR="00E04B32" w:rsidRDefault="00E04B32" w:rsidP="00E04B32">
      <w:r>
        <w:separator/>
      </w:r>
    </w:p>
  </w:endnote>
  <w:endnote w:type="continuationSeparator" w:id="0">
    <w:p w14:paraId="716AF026" w14:textId="77777777" w:rsidR="00E04B32" w:rsidRDefault="00E04B32" w:rsidP="00E0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8329C" w14:textId="77777777" w:rsidR="00E04B32" w:rsidRDefault="00E04B32" w:rsidP="00E04B32">
      <w:r>
        <w:separator/>
      </w:r>
    </w:p>
  </w:footnote>
  <w:footnote w:type="continuationSeparator" w:id="0">
    <w:p w14:paraId="3F96B7A7" w14:textId="77777777" w:rsidR="00E04B32" w:rsidRDefault="00E04B32" w:rsidP="00E0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D527F" w14:textId="7395F5A4" w:rsidR="00E04B32" w:rsidRDefault="00DD2176" w:rsidP="00DD2176">
    <w:pPr>
      <w:pStyle w:val="Zhlav"/>
      <w:tabs>
        <w:tab w:val="clear" w:pos="4536"/>
        <w:tab w:val="clear" w:pos="9072"/>
        <w:tab w:val="left" w:pos="1275"/>
      </w:tabs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622957F" wp14:editId="578098F7">
              <wp:simplePos x="0" y="0"/>
              <wp:positionH relativeFrom="margin">
                <wp:posOffset>4951730</wp:posOffset>
              </wp:positionH>
              <wp:positionV relativeFrom="topMargin">
                <wp:posOffset>489585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FFC142" w14:textId="2CC912C3" w:rsidR="00E04B32" w:rsidRPr="00B13622" w:rsidRDefault="00E04B32" w:rsidP="00E04B3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="00DD217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16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DD217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622957F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89.9pt;margin-top:38.55pt;width:87pt;height:26.25pt;z-index:-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" filled="f" stroked="f">
              <v:textbox inset="0,0,0,0">
                <w:txbxContent>
                  <w:p w14:paraId="50FFC142" w14:textId="2CC912C3" w:rsidR="00E04B32" w:rsidRPr="00B13622" w:rsidRDefault="00E04B32" w:rsidP="00E04B3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="00DD217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16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DD217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04B32">
      <w:rPr>
        <w:noProof/>
      </w:rPr>
      <w:drawing>
        <wp:anchor distT="152400" distB="152400" distL="152400" distR="152400" simplePos="0" relativeHeight="251659264" behindDoc="1" locked="1" layoutInCell="1" allowOverlap="0" wp14:anchorId="17070EF7" wp14:editId="29D1B17B">
          <wp:simplePos x="0" y="0"/>
          <wp:positionH relativeFrom="margin">
            <wp:posOffset>-143510</wp:posOffset>
          </wp:positionH>
          <wp:positionV relativeFrom="topMargin">
            <wp:posOffset>375920</wp:posOffset>
          </wp:positionV>
          <wp:extent cx="2206625" cy="647700"/>
          <wp:effectExtent l="0" t="0" r="3175" b="0"/>
          <wp:wrapNone/>
          <wp:docPr id="2029588752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4EF4CD11" w14:textId="2AAE1630" w:rsidR="00E04B32" w:rsidRPr="00E04B32" w:rsidRDefault="00E04B32" w:rsidP="00E04B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B32"/>
    <w:rsid w:val="00014A2E"/>
    <w:rsid w:val="000A2172"/>
    <w:rsid w:val="000C301F"/>
    <w:rsid w:val="00232659"/>
    <w:rsid w:val="00334CFA"/>
    <w:rsid w:val="00370C00"/>
    <w:rsid w:val="0037599B"/>
    <w:rsid w:val="004205E0"/>
    <w:rsid w:val="00462228"/>
    <w:rsid w:val="00495127"/>
    <w:rsid w:val="00495184"/>
    <w:rsid w:val="00524798"/>
    <w:rsid w:val="006362A4"/>
    <w:rsid w:val="00683713"/>
    <w:rsid w:val="006B74E3"/>
    <w:rsid w:val="006C5556"/>
    <w:rsid w:val="007063FD"/>
    <w:rsid w:val="00802BD0"/>
    <w:rsid w:val="00867E90"/>
    <w:rsid w:val="009219E8"/>
    <w:rsid w:val="00967290"/>
    <w:rsid w:val="00983497"/>
    <w:rsid w:val="00A31DE4"/>
    <w:rsid w:val="00A32F87"/>
    <w:rsid w:val="00AA6C21"/>
    <w:rsid w:val="00B57D56"/>
    <w:rsid w:val="00B940F6"/>
    <w:rsid w:val="00C00387"/>
    <w:rsid w:val="00C1041F"/>
    <w:rsid w:val="00C329B6"/>
    <w:rsid w:val="00CB5B45"/>
    <w:rsid w:val="00D9641A"/>
    <w:rsid w:val="00D977D0"/>
    <w:rsid w:val="00DD2176"/>
    <w:rsid w:val="00DF6716"/>
    <w:rsid w:val="00E04B32"/>
    <w:rsid w:val="00F043A6"/>
    <w:rsid w:val="00F20E2F"/>
    <w:rsid w:val="00F24A91"/>
    <w:rsid w:val="00F30E2B"/>
    <w:rsid w:val="00F33EE6"/>
    <w:rsid w:val="00F8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41F39"/>
  <w15:chartTrackingRefBased/>
  <w15:docId w15:val="{50D2281E-76F6-4965-9275-497D7B1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4B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04B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04B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04B3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4B3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4B3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4B3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04B3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04B3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04B3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4B3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4B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04B3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04B32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4B32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4B3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04B3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04B3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04B3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04B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E04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04B3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E04B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04B3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E04B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04B3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E04B32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04B3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04B32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04B32"/>
    <w:rPr>
      <w:b/>
      <w:bCs/>
      <w:smallCaps/>
      <w:color w:val="2E74B5" w:themeColor="accent1" w:themeShade="BF"/>
      <w:spacing w:val="5"/>
    </w:rPr>
  </w:style>
  <w:style w:type="table" w:styleId="Mkatabulky">
    <w:name w:val="Table Grid"/>
    <w:basedOn w:val="Normlntabulka"/>
    <w:uiPriority w:val="39"/>
    <w:rsid w:val="00E04B3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ar">
    <w:name w:val="Útvar"/>
    <w:basedOn w:val="Normln"/>
    <w:link w:val="tvarChar"/>
    <w:uiPriority w:val="9"/>
    <w:qFormat/>
    <w:rsid w:val="00E04B3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Standardnpsmoodstavce"/>
    <w:link w:val="tvar"/>
    <w:uiPriority w:val="9"/>
    <w:rsid w:val="00E04B32"/>
    <w:rPr>
      <w:rFonts w:ascii="Arial" w:eastAsia="Arial" w:hAnsi="Arial" w:cs="Arial"/>
      <w:b/>
      <w:color w:val="161A48"/>
      <w:kern w:val="0"/>
      <w:sz w:val="28"/>
      <w:szCs w:val="24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E04B32"/>
    <w:pPr>
      <w:spacing w:before="240" w:after="0"/>
      <w:outlineLvl w:val="9"/>
    </w:pPr>
    <w:rPr>
      <w:rFonts w:ascii="Arial" w:hAnsi="Arial"/>
      <w:b/>
      <w:color w:val="auto"/>
      <w:kern w:val="0"/>
      <w:sz w:val="28"/>
      <w:szCs w:val="32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E04B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4B32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04B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4B32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3</Pages>
  <Words>739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Frantíková</dc:creator>
  <cp:keywords/>
  <dc:description/>
  <cp:lastModifiedBy>Lucie Rulíková</cp:lastModifiedBy>
  <cp:revision>20</cp:revision>
  <dcterms:created xsi:type="dcterms:W3CDTF">2025-10-21T13:46:00Z</dcterms:created>
  <dcterms:modified xsi:type="dcterms:W3CDTF">2025-11-07T07:16:00Z</dcterms:modified>
</cp:coreProperties>
</file>